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1F" w:rsidRPr="00B75C1F" w:rsidRDefault="00B75C1F" w:rsidP="00B75C1F">
      <w:pPr>
        <w:spacing w:before="100" w:beforeAutospacing="1" w:after="150" w:line="510" w:lineRule="atLeast"/>
        <w:outlineLvl w:val="1"/>
        <w:rPr>
          <w:rFonts w:ascii="Arial" w:eastAsia="Times New Roman" w:hAnsi="Arial" w:cs="Arial"/>
          <w:color w:val="363636"/>
          <w:sz w:val="51"/>
          <w:szCs w:val="51"/>
          <w:lang w:eastAsia="ca-ES"/>
        </w:rPr>
      </w:pPr>
      <w:r w:rsidRPr="00B75C1F">
        <w:rPr>
          <w:rFonts w:ascii="Arial" w:eastAsia="Times New Roman" w:hAnsi="Arial" w:cs="Arial"/>
          <w:color w:val="363636"/>
          <w:sz w:val="51"/>
          <w:szCs w:val="51"/>
          <w:lang w:eastAsia="ca-ES"/>
        </w:rPr>
        <w:t xml:space="preserve">CRUDE, el </w:t>
      </w:r>
      <w:proofErr w:type="spellStart"/>
      <w:r w:rsidRPr="00B75C1F">
        <w:rPr>
          <w:rFonts w:ascii="Arial" w:eastAsia="Times New Roman" w:hAnsi="Arial" w:cs="Arial"/>
          <w:color w:val="363636"/>
          <w:sz w:val="51"/>
          <w:szCs w:val="51"/>
          <w:lang w:eastAsia="ca-ES"/>
        </w:rPr>
        <w:t>auténtico</w:t>
      </w:r>
      <w:proofErr w:type="spellEnd"/>
      <w:r w:rsidRPr="00B75C1F">
        <w:rPr>
          <w:rFonts w:ascii="Arial" w:eastAsia="Times New Roman" w:hAnsi="Arial" w:cs="Arial"/>
          <w:color w:val="363636"/>
          <w:sz w:val="51"/>
          <w:szCs w:val="51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51"/>
          <w:szCs w:val="51"/>
          <w:lang w:eastAsia="ca-ES"/>
        </w:rPr>
        <w:t>precio</w:t>
      </w:r>
      <w:proofErr w:type="spellEnd"/>
      <w:r w:rsidRPr="00B75C1F">
        <w:rPr>
          <w:rFonts w:ascii="Arial" w:eastAsia="Times New Roman" w:hAnsi="Arial" w:cs="Arial"/>
          <w:color w:val="363636"/>
          <w:sz w:val="51"/>
          <w:szCs w:val="51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51"/>
          <w:szCs w:val="51"/>
          <w:lang w:eastAsia="ca-ES"/>
        </w:rPr>
        <w:t>petróleo</w:t>
      </w:r>
      <w:proofErr w:type="spellEnd"/>
    </w:p>
    <w:p w:rsidR="00B75C1F" w:rsidRPr="00B75C1F" w:rsidRDefault="00B75C1F" w:rsidP="00B75C1F">
      <w:pP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ca-ES"/>
        </w:rPr>
      </w:pPr>
      <w:proofErr w:type="spellStart"/>
      <w:r w:rsidRPr="00B75C1F">
        <w:rPr>
          <w:rFonts w:ascii="Arial" w:eastAsia="Times New Roman" w:hAnsi="Arial" w:cs="Arial"/>
          <w:color w:val="8093A1"/>
          <w:sz w:val="17"/>
          <w:szCs w:val="17"/>
          <w:lang w:eastAsia="ca-ES"/>
        </w:rPr>
        <w:t>tags</w:t>
      </w:r>
      <w:proofErr w:type="spellEnd"/>
      <w:r w:rsidRPr="00B75C1F">
        <w:rPr>
          <w:rFonts w:ascii="Arial" w:eastAsia="Times New Roman" w:hAnsi="Arial" w:cs="Arial"/>
          <w:color w:val="8093A1"/>
          <w:sz w:val="17"/>
          <w:szCs w:val="17"/>
          <w:lang w:eastAsia="ca-ES"/>
        </w:rPr>
        <w:t>: </w:t>
      </w:r>
      <w:bookmarkStart w:id="0" w:name="_GoBack"/>
      <w:bookmarkEnd w:id="0"/>
      <w:proofErr w:type="spellStart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begin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instrText xml:space="preserve"> HYPERLINK "http://www.terra.org/taxonomy/term/7625" </w:instrText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separate"/>
      </w:r>
      <w:r w:rsidRPr="00B75C1F">
        <w:rPr>
          <w:rFonts w:ascii="Arial" w:eastAsia="Times New Roman" w:hAnsi="Arial" w:cs="Arial"/>
          <w:color w:val="2D76B9"/>
          <w:sz w:val="17"/>
          <w:szCs w:val="17"/>
          <w:u w:val="single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end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begin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instrText xml:space="preserve"> HYPERLINK "http://www.terra.org/taxonomy/term/7504" </w:instrText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separate"/>
      </w:r>
      <w:r w:rsidRPr="00B75C1F">
        <w:rPr>
          <w:rFonts w:ascii="Arial" w:eastAsia="Times New Roman" w:hAnsi="Arial" w:cs="Arial"/>
          <w:color w:val="2D76B9"/>
          <w:sz w:val="17"/>
          <w:szCs w:val="17"/>
          <w:u w:val="single"/>
          <w:lang w:eastAsia="ca-ES"/>
        </w:rPr>
        <w:t>petróleo</w:t>
      </w:r>
      <w:proofErr w:type="spellEnd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end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begin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instrText xml:space="preserve"> HYPERLINK "http://www.terra.org/taxonomy/term/7626" </w:instrText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separate"/>
      </w:r>
      <w:r w:rsidRPr="00B75C1F">
        <w:rPr>
          <w:rFonts w:ascii="Arial" w:eastAsia="Times New Roman" w:hAnsi="Arial" w:cs="Arial"/>
          <w:color w:val="2D76B9"/>
          <w:sz w:val="17"/>
          <w:szCs w:val="17"/>
          <w:u w:val="single"/>
          <w:lang w:eastAsia="ca-ES"/>
        </w:rPr>
        <w:t>contaminación</w:t>
      </w:r>
      <w:proofErr w:type="spellEnd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end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begin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instrText xml:space="preserve"> HYPERLINK "http://www.terra.org/taxonomy/term/7627" </w:instrText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separate"/>
      </w:r>
      <w:r w:rsidRPr="00B75C1F">
        <w:rPr>
          <w:rFonts w:ascii="Arial" w:eastAsia="Times New Roman" w:hAnsi="Arial" w:cs="Arial"/>
          <w:color w:val="2D76B9"/>
          <w:sz w:val="17"/>
          <w:szCs w:val="17"/>
          <w:u w:val="single"/>
          <w:lang w:eastAsia="ca-ES"/>
        </w:rPr>
        <w:t>amazonia</w:t>
      </w:r>
      <w:proofErr w:type="spellEnd"/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fldChar w:fldCharType="end"/>
      </w:r>
      <w:r w:rsidRPr="00B75C1F">
        <w:rPr>
          <w:rFonts w:ascii="Arial" w:eastAsia="Times New Roman" w:hAnsi="Arial" w:cs="Arial"/>
          <w:color w:val="000000"/>
          <w:sz w:val="27"/>
          <w:szCs w:val="27"/>
          <w:lang w:eastAsia="ca-ES"/>
        </w:rPr>
        <w:t> </w:t>
      </w:r>
      <w:hyperlink r:id="rId6" w:history="1">
        <w:r w:rsidRPr="00B75C1F">
          <w:rPr>
            <w:rFonts w:ascii="Arial" w:eastAsia="Times New Roman" w:hAnsi="Arial" w:cs="Arial"/>
            <w:color w:val="2D76B9"/>
            <w:sz w:val="17"/>
            <w:szCs w:val="17"/>
            <w:u w:val="single"/>
            <w:lang w:eastAsia="ca-ES"/>
          </w:rPr>
          <w:t>documental</w:t>
        </w:r>
      </w:hyperlink>
    </w:p>
    <w:p w:rsidR="00B75C1F" w:rsidRPr="00B75C1F" w:rsidRDefault="00B75C1F" w:rsidP="00B75C1F">
      <w:pPr>
        <w:spacing w:after="0" w:line="336" w:lineRule="atLeast"/>
        <w:rPr>
          <w:rFonts w:ascii="Arial" w:eastAsia="Times New Roman" w:hAnsi="Arial" w:cs="Arial"/>
          <w:color w:val="8093A1"/>
          <w:sz w:val="17"/>
          <w:szCs w:val="17"/>
          <w:lang w:eastAsia="ca-ES"/>
        </w:rPr>
      </w:pPr>
      <w:proofErr w:type="spellStart"/>
      <w:r w:rsidRPr="00B75C1F">
        <w:rPr>
          <w:rFonts w:ascii="Arial" w:eastAsia="Times New Roman" w:hAnsi="Arial" w:cs="Arial"/>
          <w:color w:val="8093A1"/>
          <w:sz w:val="17"/>
          <w:szCs w:val="17"/>
          <w:lang w:eastAsia="ca-ES"/>
        </w:rPr>
        <w:t>actualizado</w:t>
      </w:r>
      <w:proofErr w:type="spellEnd"/>
      <w:r w:rsidRPr="00B75C1F">
        <w:rPr>
          <w:rFonts w:ascii="Arial" w:eastAsia="Times New Roman" w:hAnsi="Arial" w:cs="Arial"/>
          <w:color w:val="8093A1"/>
          <w:sz w:val="17"/>
          <w:szCs w:val="17"/>
          <w:lang w:eastAsia="ca-ES"/>
        </w:rPr>
        <w:t>: 26/02/2013</w:t>
      </w:r>
    </w:p>
    <w:p w:rsidR="00B75C1F" w:rsidRPr="00B75C1F" w:rsidRDefault="00B75C1F" w:rsidP="00B75C1F">
      <w:pPr>
        <w:spacing w:before="100" w:beforeAutospacing="1" w:after="150" w:line="336" w:lineRule="atLeast"/>
        <w:rPr>
          <w:rFonts w:ascii="Arial" w:eastAsia="Times New Roman" w:hAnsi="Arial" w:cs="Arial"/>
          <w:color w:val="363636"/>
          <w:sz w:val="20"/>
          <w:szCs w:val="20"/>
          <w:lang w:eastAsia="ca-ES"/>
        </w:rPr>
      </w:pP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Este documental,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nominado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oficialmente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el festival 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Sundance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2009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es casi un thriller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entresijos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litigio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internacional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interpuesto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30.000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indígenas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ecuatorianos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contra la petrolera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estadounidense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La causa: contaminar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gravemente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tierras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entre 1972 y 1990 en un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territorio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amazonía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unos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3.000 km</w:t>
      </w:r>
      <w:r w:rsidRPr="00B75C1F">
        <w:rPr>
          <w:rFonts w:ascii="Arial" w:eastAsia="Times New Roman" w:hAnsi="Arial" w:cs="Arial"/>
          <w:color w:val="363636"/>
          <w:sz w:val="20"/>
          <w:szCs w:val="20"/>
          <w:vertAlign w:val="superscript"/>
          <w:lang w:eastAsia="ca-ES"/>
        </w:rPr>
        <w:t>2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(similar a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superficie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región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metropolitana de Barcelona). Un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territorio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poblado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esencialmente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pueblos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indígenas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como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Cofán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Secoyas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Sionas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Quichuas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padeció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durante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explotación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petrolera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parte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vertido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64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millones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litros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(17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millones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galones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)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petróleo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además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depósitos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residuales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balsas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cercanas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ríos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zona de Lago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Agrio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petróleo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pues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dejó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zona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fuertemente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contaminada. En 1992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concesión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rescindida por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gobierno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ecuatoriano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quien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traspasó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la empresa pública 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fldChar w:fldCharType="begin"/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instrText xml:space="preserve"> HYPERLINK "http://www.petroecuador.com.ec/" \t "_blank" </w:instrTex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fldChar w:fldCharType="separate"/>
      </w:r>
      <w:r w:rsidRPr="00B75C1F">
        <w:rPr>
          <w:rFonts w:ascii="Arial" w:eastAsia="Times New Roman" w:hAnsi="Arial" w:cs="Arial"/>
          <w:color w:val="2D76B9"/>
          <w:sz w:val="20"/>
          <w:szCs w:val="20"/>
          <w:lang w:eastAsia="ca-ES"/>
        </w:rPr>
        <w:t>PetroEquador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fldChar w:fldCharType="end"/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parte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absorbida por 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fldChar w:fldCharType="begin"/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instrText xml:space="preserve"> HYPERLINK "http://www.chevron.com/" \t "_blank" </w:instrTex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fldChar w:fldCharType="separate"/>
      </w:r>
      <w:r w:rsidRPr="00B75C1F">
        <w:rPr>
          <w:rFonts w:ascii="Arial" w:eastAsia="Times New Roman" w:hAnsi="Arial" w:cs="Arial"/>
          <w:color w:val="2D76B9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fldChar w:fldCharType="end"/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en octubre del 2001.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17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años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litigio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caso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sigue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abierto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pesar del informe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elaborado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el consultor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independiente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Ricardo Cabrera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evaluó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daños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causados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27.000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millones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dólares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sería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coste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recuperación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ambiental de la zona.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informe de 4.000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páginas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entregado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juzgado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encargado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caso el 1 de abril del 2008.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aquel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momento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juez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instructor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declaró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insolvente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resolver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caso.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varios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intentos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constituir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nuevamente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comité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judicial instructor,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cuando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lanza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 </w:t>
      </w:r>
      <w:hyperlink r:id="rId7" w:tgtFrame="_blank" w:history="1"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>el DVD del documental </w:t>
        </w:r>
        <w:proofErr w:type="spellStart"/>
        <w:r w:rsidRPr="00B75C1F">
          <w:rPr>
            <w:rFonts w:ascii="Arial" w:eastAsia="Times New Roman" w:hAnsi="Arial" w:cs="Arial"/>
            <w:b/>
            <w:bCs/>
            <w:i/>
            <w:iCs/>
            <w:color w:val="2D76B9"/>
            <w:sz w:val="20"/>
            <w:szCs w:val="20"/>
            <w:lang w:eastAsia="ca-ES"/>
          </w:rPr>
          <w:t>Crude</w:t>
        </w:r>
        <w:proofErr w:type="spellEnd"/>
      </w:hyperlink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 (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febrero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2010) este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sigue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vacante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litigio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no ha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terminado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.</w:t>
      </w:r>
    </w:p>
    <w:p w:rsidR="00B75C1F" w:rsidRPr="00B75C1F" w:rsidRDefault="00B75C1F" w:rsidP="00B75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ca-ES"/>
        </w:rPr>
      </w:pPr>
      <w:r>
        <w:rPr>
          <w:rFonts w:ascii="Arial" w:eastAsia="Times New Roman" w:hAnsi="Arial" w:cs="Arial"/>
          <w:noProof/>
          <w:color w:val="2D76B9"/>
          <w:lang w:eastAsia="ca-ES"/>
        </w:rPr>
        <w:lastRenderedPageBreak/>
        <w:drawing>
          <wp:inline distT="0" distB="0" distL="0" distR="0">
            <wp:extent cx="2384425" cy="3571875"/>
            <wp:effectExtent l="0" t="0" r="0" b="9525"/>
            <wp:docPr id="5" name="Imagen 5" descr="zoo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o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1F" w:rsidRPr="00B75C1F" w:rsidRDefault="00B75C1F" w:rsidP="00B75C1F">
      <w:pPr>
        <w:shd w:val="clear" w:color="auto" w:fill="FFFFFF"/>
        <w:spacing w:before="100" w:beforeAutospacing="1" w:after="150" w:line="336" w:lineRule="atLeast"/>
        <w:rPr>
          <w:rFonts w:ascii="Arial" w:eastAsia="Times New Roman" w:hAnsi="Arial" w:cs="Arial"/>
          <w:color w:val="666666"/>
          <w:sz w:val="24"/>
          <w:szCs w:val="24"/>
          <w:lang w:eastAsia="ca-ES"/>
        </w:rPr>
      </w:pP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Título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 original: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The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 real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price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 of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oil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br/>
        <w:t xml:space="preserve">Director: Joe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br/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Protagonistas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reales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br/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Producción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: Joe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Micahel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Bonfiglio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, J.R.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Delon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, Richard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Stratton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:</w:t>
      </w:r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br/>
        <w:t>Documental: EUA, 2009</w:t>
      </w:r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br/>
      </w:r>
      <w:hyperlink r:id="rId10" w:anchor=".VAcK1uN_vMg" w:tgtFrame="_blank" w:history="1">
        <w:proofErr w:type="spellStart"/>
        <w:r w:rsidRPr="00B75C1F">
          <w:rPr>
            <w:rFonts w:ascii="Arial" w:eastAsia="Times New Roman" w:hAnsi="Arial" w:cs="Arial"/>
            <w:color w:val="2D76B9"/>
            <w:sz w:val="24"/>
            <w:szCs w:val="24"/>
            <w:lang w:eastAsia="ca-ES"/>
          </w:rPr>
          <w:t>Distribución</w:t>
        </w:r>
        <w:proofErr w:type="spellEnd"/>
        <w:r w:rsidRPr="00B75C1F">
          <w:rPr>
            <w:rFonts w:ascii="Arial" w:eastAsia="Times New Roman" w:hAnsi="Arial" w:cs="Arial"/>
            <w:color w:val="2D76B9"/>
            <w:sz w:val="24"/>
            <w:szCs w:val="24"/>
            <w:lang w:eastAsia="ca-ES"/>
          </w:rPr>
          <w:t xml:space="preserve"> en  DVD en España: CAMEO</w:t>
        </w:r>
      </w:hyperlink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br/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Duración</w:t>
      </w:r>
      <w:proofErr w:type="spellEnd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 xml:space="preserve">: 104 </w:t>
      </w:r>
      <w:proofErr w:type="spellStart"/>
      <w:r w:rsidRPr="00B75C1F">
        <w:rPr>
          <w:rFonts w:ascii="Arial" w:eastAsia="Times New Roman" w:hAnsi="Arial" w:cs="Arial"/>
          <w:color w:val="666666"/>
          <w:sz w:val="24"/>
          <w:szCs w:val="24"/>
          <w:lang w:eastAsia="ca-ES"/>
        </w:rPr>
        <w:t>minutos</w:t>
      </w:r>
      <w:proofErr w:type="spellEnd"/>
    </w:p>
    <w:p w:rsidR="00B75C1F" w:rsidRPr="00B75C1F" w:rsidRDefault="00B75C1F" w:rsidP="00B75C1F">
      <w:pPr>
        <w:spacing w:before="100" w:beforeAutospacing="1" w:after="150" w:line="336" w:lineRule="atLeast"/>
        <w:rPr>
          <w:rFonts w:ascii="Arial" w:eastAsia="Times New Roman" w:hAnsi="Arial" w:cs="Arial"/>
          <w:color w:val="363636"/>
          <w:sz w:val="20"/>
          <w:szCs w:val="20"/>
          <w:lang w:eastAsia="ca-ES"/>
        </w:rPr>
      </w:pP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El documental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mantiene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narración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tensa en la que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combinan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sesiones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públicas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presentación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pruebas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las partes con el testimonio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efectos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sobre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población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contaminación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cierto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dedicó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según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cuentas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40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millones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dólares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recuperación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ambiental de la zona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según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afirmaba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abogado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Ecuador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Ricardo Reis.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Estas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tierras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supuestamente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remediadas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rápidamente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ocupadas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población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lugareña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zona.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Muchos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asentamientos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actuales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situaron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sobre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antiguos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vertederos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residuos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petrolíferos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simplemente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cubiertos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tierra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esta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realidad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aparición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enfermedades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cutáneas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cánceres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otras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dolencias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toda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región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disparó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como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atestiguan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servicios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sanitarios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lugar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Lógicamente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la empresa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como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heredera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en el documental se excusa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reiteradamente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través de la responsable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Medio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Ambiente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Sara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McMillen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quien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niega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corporación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responsable de este desastre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ecológico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argumenta que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incidencia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aumento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enfermedades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entre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lugareños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porque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agua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está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contaminada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esencialmente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residuos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fecales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.</w:t>
      </w:r>
    </w:p>
    <w:p w:rsidR="00B75C1F" w:rsidRPr="00B75C1F" w:rsidRDefault="00B75C1F" w:rsidP="00B75C1F">
      <w:pPr>
        <w:spacing w:before="100" w:beforeAutospacing="1" w:after="150" w:line="336" w:lineRule="atLeast"/>
        <w:rPr>
          <w:rFonts w:ascii="Arial" w:eastAsia="Times New Roman" w:hAnsi="Arial" w:cs="Arial"/>
          <w:color w:val="363636"/>
          <w:sz w:val="20"/>
          <w:szCs w:val="20"/>
          <w:lang w:eastAsia="ca-ES"/>
        </w:rPr>
      </w:pPr>
      <w:proofErr w:type="spellStart"/>
      <w:r w:rsidRPr="00B75C1F">
        <w:rPr>
          <w:rFonts w:ascii="Arial" w:eastAsia="Times New Roman" w:hAnsi="Arial" w:cs="Arial"/>
          <w:b/>
          <w:bCs/>
          <w:i/>
          <w:iCs/>
          <w:color w:val="363636"/>
          <w:sz w:val="20"/>
          <w:szCs w:val="20"/>
          <w:lang w:eastAsia="ca-ES"/>
        </w:rPr>
        <w:lastRenderedPageBreak/>
        <w:t>Crude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recoge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3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años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litigio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contra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el que el consultor y director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demandantes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neoyorquino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Steven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Donzinger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experto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pleitos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contra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grandes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multinacionales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muestra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todas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habilidades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recabar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mayor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atención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opinión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pública para el caso. </w:t>
      </w:r>
      <w:proofErr w:type="spellStart"/>
      <w:r w:rsidRPr="00B75C1F">
        <w:rPr>
          <w:rFonts w:ascii="Arial" w:eastAsia="Times New Roman" w:hAnsi="Arial" w:cs="Arial"/>
          <w:b/>
          <w:bCs/>
          <w:i/>
          <w:iCs/>
          <w:color w:val="363636"/>
          <w:sz w:val="20"/>
          <w:szCs w:val="20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esencialmente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duelo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legal a lo largo de las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diferentes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vistas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sobre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terreno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entre Pablo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Fajardo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(1972),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abogado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demandantes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y Adolfo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Callejas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abogado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Quito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como afirma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Fajardo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, 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ellos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lo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tienen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más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difícil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porque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para cada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verdad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suya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deben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inventar una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mentira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respuesta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La figura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Donzinger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esencial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Asesora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testimonios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participan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las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audiencias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busca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complicidades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otras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asociaciones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despachos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y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finalmente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recaba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implicación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figuras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mediáticas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el caso. El documental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recoge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momento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el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Trudie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Stuler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esposa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cantante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Sting (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miembro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grupo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The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Police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) y responsable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fundación</w:t>
      </w:r>
      <w:hyperlink r:id="rId11" w:tgtFrame="_blank" w:history="1"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>Rainforest</w:t>
        </w:r>
        <w:proofErr w:type="spellEnd"/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 xml:space="preserve"> Foundatio</w:t>
        </w:r>
      </w:hyperlink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n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une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la causa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indígenas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Amazonía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Ecuador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haciendo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viaje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la zona afectada para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conocer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directo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realidad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problema.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conseguir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este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importante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apoyo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Steven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Donzinger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primero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convenció a la revista 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Vanity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Fair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para que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número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verde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(</w:t>
      </w:r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Green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Issue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, 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que se publica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mayo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cada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año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)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recogiera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edición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2007 un extenso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reportaje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sobre la figura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abogado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ecuatoriano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Pablo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Fajardo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líder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lucha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legal contra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con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título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Jungle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Law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reportaje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causó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una gran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expectación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también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sirvió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que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nuevo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presidente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Ecuador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Rafael Correa (que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había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accedido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presidencia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país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Enero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2007), a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cuatro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meses 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mandato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hiciera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viaje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conocer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personalmente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testimonios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afectados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lo que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conoce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como el 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Chernobil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de la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Amazonía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.</w:t>
      </w:r>
    </w:p>
    <w:p w:rsidR="00B75C1F" w:rsidRPr="00B75C1F" w:rsidRDefault="00B75C1F" w:rsidP="00B75C1F">
      <w:pPr>
        <w:spacing w:after="0" w:line="240" w:lineRule="auto"/>
        <w:rPr>
          <w:rFonts w:ascii="Arial" w:eastAsia="Times New Roman" w:hAnsi="Arial" w:cs="Arial"/>
          <w:color w:val="666666"/>
          <w:sz w:val="15"/>
          <w:szCs w:val="15"/>
          <w:lang w:eastAsia="ca-ES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ca-ES"/>
        </w:rPr>
        <w:drawing>
          <wp:inline distT="0" distB="0" distL="0" distR="0">
            <wp:extent cx="5716905" cy="2649220"/>
            <wp:effectExtent l="0" t="0" r="0" b="0"/>
            <wp:docPr id="4" name="Imagen 4" descr="http://www.terra.org/sites/default/files/bd_imagenes/0009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rra.org/sites/default/files/bd_imagenes/00095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1F" w:rsidRPr="00B75C1F" w:rsidRDefault="00B75C1F" w:rsidP="00B75C1F">
      <w:pPr>
        <w:shd w:val="clear" w:color="auto" w:fill="FFFFFF"/>
        <w:spacing w:before="100" w:beforeAutospacing="1" w:line="336" w:lineRule="atLeast"/>
        <w:rPr>
          <w:rFonts w:ascii="Arial" w:eastAsia="Times New Roman" w:hAnsi="Arial" w:cs="Arial"/>
          <w:color w:val="666666"/>
          <w:sz w:val="17"/>
          <w:szCs w:val="17"/>
          <w:lang w:eastAsia="ca-ES"/>
        </w:rPr>
      </w:pPr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Foto: Juan Diego Pérez.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Reflejo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sobre una balsa petrolífera de la víctima de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cáncer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Maria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Garofalo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. De la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película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de Joe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.</w:t>
      </w:r>
    </w:p>
    <w:p w:rsidR="00B75C1F" w:rsidRPr="00B75C1F" w:rsidRDefault="00B75C1F" w:rsidP="00B75C1F">
      <w:pPr>
        <w:spacing w:before="100" w:beforeAutospacing="1" w:after="150" w:line="336" w:lineRule="atLeast"/>
        <w:rPr>
          <w:rFonts w:ascii="Arial" w:eastAsia="Times New Roman" w:hAnsi="Arial" w:cs="Arial"/>
          <w:color w:val="363636"/>
          <w:sz w:val="20"/>
          <w:szCs w:val="20"/>
          <w:lang w:eastAsia="ca-ES"/>
        </w:rPr>
      </w:pP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Joe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el director del documental, no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tiene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ninguna obra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exhibición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nuestro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país,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embargo,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tiene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reconocido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prestigio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Estados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Unidos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donde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conocido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estilo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contundente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el que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narración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hechos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casi toma el formato de thriller. En un caso como este en el que una gran multinacional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quiere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el 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pleito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sirva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aplastar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 país 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lastRenderedPageBreak/>
        <w:t xml:space="preserve">pobre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evidente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les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sobraron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escrúpulos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tragedia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salud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indígenas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la zona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recoge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testimonios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dramáticos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En este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sentido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el director busca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todos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elementos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destacar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valentía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protagonistas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seguir en el caso.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hermano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Pablo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Fajardo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brutalmente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asesinado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el 2004 y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todos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indicios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por las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torturas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mostró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cadáver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indicaban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confundido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que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realidad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iban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por Pablo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Fajardo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También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sobresale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y no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podía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ser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menos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la mirada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atónita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Trudie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Stuler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como figura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mediática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se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adentra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la selva y es azotada por el testimonio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afectados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Ayudar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mejorar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calidad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agua de la zona es el primer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efecto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segundo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que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famoso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concierto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 </w:t>
      </w:r>
      <w:hyperlink r:id="rId13" w:tgtFrame="_blank" w:history="1"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 xml:space="preserve">Live </w:t>
        </w:r>
        <w:proofErr w:type="spellStart"/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>Earth</w:t>
        </w:r>
        <w:proofErr w:type="spellEnd"/>
      </w:hyperlink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2007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tuvo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como lema el caso contra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valentía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director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evidente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muchas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escenas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al buscar el testimonio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crueldad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somete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contaminación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petrolera a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lugareños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.</w:t>
      </w:r>
    </w:p>
    <w:p w:rsidR="00B75C1F" w:rsidRPr="00B75C1F" w:rsidRDefault="00B75C1F" w:rsidP="00B75C1F">
      <w:pPr>
        <w:spacing w:after="0" w:line="240" w:lineRule="auto"/>
        <w:rPr>
          <w:rFonts w:ascii="Arial" w:eastAsia="Times New Roman" w:hAnsi="Arial" w:cs="Arial"/>
          <w:color w:val="666666"/>
          <w:sz w:val="15"/>
          <w:szCs w:val="15"/>
          <w:lang w:eastAsia="ca-ES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ca-ES"/>
        </w:rPr>
        <w:drawing>
          <wp:inline distT="0" distB="0" distL="0" distR="0">
            <wp:extent cx="5716905" cy="2768600"/>
            <wp:effectExtent l="0" t="0" r="0" b="0"/>
            <wp:docPr id="3" name="Imagen 3" descr="http://www.terra.org/sites/default/files/bd_imagenes/0009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rra.org/sites/default/files/bd_imagenes/000953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1F" w:rsidRPr="00B75C1F" w:rsidRDefault="00B75C1F" w:rsidP="00B75C1F">
      <w:pPr>
        <w:shd w:val="clear" w:color="auto" w:fill="FFFFFF"/>
        <w:spacing w:before="100" w:beforeAutospacing="1" w:line="336" w:lineRule="atLeast"/>
        <w:rPr>
          <w:rFonts w:ascii="Arial" w:eastAsia="Times New Roman" w:hAnsi="Arial" w:cs="Arial"/>
          <w:color w:val="666666"/>
          <w:sz w:val="17"/>
          <w:szCs w:val="17"/>
          <w:lang w:eastAsia="ca-ES"/>
        </w:rPr>
      </w:pPr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Foto: Sebastian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Posingis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Uno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centenares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pozos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residuos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petrolíferos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en la selva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amazónica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Ecuador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. De la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película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de Joe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.</w:t>
      </w:r>
    </w:p>
    <w:p w:rsidR="00B75C1F" w:rsidRPr="00B75C1F" w:rsidRDefault="00B75C1F" w:rsidP="00B75C1F">
      <w:pPr>
        <w:spacing w:before="100" w:beforeAutospacing="1" w:after="150" w:line="336" w:lineRule="atLeast"/>
        <w:rPr>
          <w:rFonts w:ascii="Arial" w:eastAsia="Times New Roman" w:hAnsi="Arial" w:cs="Arial"/>
          <w:color w:val="363636"/>
          <w:sz w:val="20"/>
          <w:szCs w:val="20"/>
          <w:lang w:eastAsia="ca-ES"/>
        </w:rPr>
      </w:pP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realidad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que</w:t>
      </w:r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b/>
          <w:bCs/>
          <w:i/>
          <w:iCs/>
          <w:color w:val="363636"/>
          <w:sz w:val="20"/>
          <w:szCs w:val="20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b/>
          <w:bCs/>
          <w:i/>
          <w:iCs/>
          <w:color w:val="363636"/>
          <w:sz w:val="20"/>
          <w:szCs w:val="20"/>
          <w:lang w:eastAsia="ca-ES"/>
        </w:rPr>
        <w:t> 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no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deja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indiferente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Kent Robertson,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portavoz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San Ramón,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California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declaró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públicamente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el documental era una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película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larga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lágrimas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corta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hechos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El espectador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puede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percibir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como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demuestra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lo largo del film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escasa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ética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empresarial. Este documental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sólo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recopilación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hasta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 punto crucial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litigio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un caso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sigue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activo y no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exento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nuevas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realidades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La última estratagema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ha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acusar a Ricardo Cabrera, el perito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independiente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hizo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informe pericial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encargo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juez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caso,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argumentando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tenía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intereses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perjudicar 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Chevron-Texaco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otra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PetroEcuador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no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tampoco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una empresa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libre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cargos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la zona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después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asumir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herencia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aunque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caso de </w:t>
      </w:r>
      <w:proofErr w:type="spellStart"/>
      <w:r w:rsidRPr="00B75C1F">
        <w:rPr>
          <w:rFonts w:ascii="Arial" w:eastAsia="Times New Roman" w:hAnsi="Arial" w:cs="Arial"/>
          <w:b/>
          <w:bCs/>
          <w:i/>
          <w:iCs/>
          <w:color w:val="363636"/>
          <w:sz w:val="20"/>
          <w:szCs w:val="20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se centre en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vertidos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entre 1972 a 1990.</w:t>
      </w:r>
    </w:p>
    <w:p w:rsidR="00B75C1F" w:rsidRPr="00B75C1F" w:rsidRDefault="00B75C1F" w:rsidP="00B75C1F">
      <w:pPr>
        <w:spacing w:after="0" w:line="240" w:lineRule="auto"/>
        <w:rPr>
          <w:rFonts w:ascii="Arial" w:eastAsia="Times New Roman" w:hAnsi="Arial" w:cs="Arial"/>
          <w:color w:val="666666"/>
          <w:sz w:val="15"/>
          <w:szCs w:val="15"/>
          <w:lang w:eastAsia="ca-ES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ca-ES"/>
        </w:rPr>
        <w:lastRenderedPageBreak/>
        <w:drawing>
          <wp:inline distT="0" distB="0" distL="0" distR="0">
            <wp:extent cx="5716905" cy="3298825"/>
            <wp:effectExtent l="0" t="0" r="0" b="0"/>
            <wp:docPr id="2" name="Imagen 2" descr="http://www.terra.org/sites/default/files/bd_imagenes/0009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rra.org/sites/default/files/bd_imagenes/000953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1F" w:rsidRPr="00B75C1F" w:rsidRDefault="00B75C1F" w:rsidP="00B75C1F">
      <w:pPr>
        <w:shd w:val="clear" w:color="auto" w:fill="FFFFFF"/>
        <w:spacing w:before="100" w:beforeAutospacing="1" w:line="336" w:lineRule="atLeast"/>
        <w:rPr>
          <w:rFonts w:ascii="Arial" w:eastAsia="Times New Roman" w:hAnsi="Arial" w:cs="Arial"/>
          <w:color w:val="666666"/>
          <w:sz w:val="17"/>
          <w:szCs w:val="17"/>
          <w:lang w:eastAsia="ca-ES"/>
        </w:rPr>
      </w:pPr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Foto: David Gilbert.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Emergildo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Criollo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, líder del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pueblo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indígena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testificando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en el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proceso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contra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en la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Amazonía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ecuatoriana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. De la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película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de Joe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.</w:t>
      </w:r>
    </w:p>
    <w:p w:rsidR="00B75C1F" w:rsidRPr="00B75C1F" w:rsidRDefault="00B75C1F" w:rsidP="00B75C1F">
      <w:pPr>
        <w:spacing w:before="100" w:beforeAutospacing="1" w:after="150" w:line="336" w:lineRule="atLeast"/>
        <w:rPr>
          <w:rFonts w:ascii="Arial" w:eastAsia="Times New Roman" w:hAnsi="Arial" w:cs="Arial"/>
          <w:color w:val="363636"/>
          <w:sz w:val="20"/>
          <w:szCs w:val="20"/>
          <w:lang w:eastAsia="ca-ES"/>
        </w:rPr>
      </w:pP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El caso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(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)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Ecuador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no es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diferente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otros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muchos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protagonizados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otras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empresas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petroleras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mineras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todo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planeta,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desde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Nigeria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Canadá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pasando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Australia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Lo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cierto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es que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llamado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Chernobil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Amazonas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recoge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 </w:t>
      </w:r>
      <w:proofErr w:type="spellStart"/>
      <w:r w:rsidRPr="00B75C1F">
        <w:rPr>
          <w:rFonts w:ascii="Arial" w:eastAsia="Times New Roman" w:hAnsi="Arial" w:cs="Arial"/>
          <w:b/>
          <w:bCs/>
          <w:i/>
          <w:iCs/>
          <w:color w:val="363636"/>
          <w:sz w:val="20"/>
          <w:szCs w:val="20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ha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valorado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como un desastre que supera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vertidos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Exxon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Valdez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(el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barco-petrolero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el 23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marzo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1989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desparramó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40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millones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litros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sobre 3.400 km</w:t>
      </w:r>
      <w:r w:rsidRPr="00B75C1F">
        <w:rPr>
          <w:rFonts w:ascii="Arial" w:eastAsia="Times New Roman" w:hAnsi="Arial" w:cs="Arial"/>
          <w:color w:val="363636"/>
          <w:sz w:val="20"/>
          <w:szCs w:val="20"/>
          <w:vertAlign w:val="superscript"/>
          <w:lang w:eastAsia="ca-ES"/>
        </w:rPr>
        <w:t>2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 del litoral de Alaska).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Lamentablemente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flujo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tóxicos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hacia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ríos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y la selva tropical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región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continua. Dos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semanas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después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entrevistar para el documental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abogado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Ricardo Reis de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gobierno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ecuatoriano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detuvo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a este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falsedad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documental respecto a las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obras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remediación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terrenos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contaminados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Texaco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.</w:t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br/>
      </w:r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br/>
        <w:t xml:space="preserve">El DVD del documental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viene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con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subtítulos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castellano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Puede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conseguirse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formato DVD a través de </w:t>
      </w:r>
      <w:hyperlink r:id="rId16" w:anchor=".VAcK1uN_vMg" w:tgtFrame="_blank" w:history="1"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>CAMEO</w:t>
        </w:r>
      </w:hyperlink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Vaya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por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delante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dado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mayoría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participantes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en el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filme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hablan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castellano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subtítulos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son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más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bien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esporádicos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el espectador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nuestro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país.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Legalmente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, el </w:t>
      </w:r>
      <w:hyperlink r:id="rId17" w:tgtFrame="_blank" w:history="1"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 xml:space="preserve">caso </w:t>
        </w:r>
        <w:proofErr w:type="spellStart"/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>sigue</w:t>
        </w:r>
        <w:proofErr w:type="spellEnd"/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 xml:space="preserve"> </w:t>
        </w:r>
        <w:proofErr w:type="spellStart"/>
        <w:r w:rsidRPr="00B75C1F">
          <w:rPr>
            <w:rFonts w:ascii="Arial" w:eastAsia="Times New Roman" w:hAnsi="Arial" w:cs="Arial"/>
            <w:color w:val="2D76B9"/>
            <w:sz w:val="20"/>
            <w:szCs w:val="20"/>
            <w:lang w:eastAsia="ca-ES"/>
          </w:rPr>
          <w:t>abierto</w:t>
        </w:r>
        <w:proofErr w:type="spellEnd"/>
      </w:hyperlink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,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aunque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sin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fechas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ni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perspectivas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justicia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para los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afectados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.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sí, el lema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corporativo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de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Chevron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refuerza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mentira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que </w:t>
      </w:r>
      <w:proofErr w:type="spellStart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esconde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 xml:space="preserve"> la empresa: "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Human</w:t>
      </w:r>
      <w:proofErr w:type="spellEnd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i/>
          <w:iCs/>
          <w:color w:val="363636"/>
          <w:sz w:val="20"/>
          <w:szCs w:val="20"/>
          <w:lang w:eastAsia="ca-ES"/>
        </w:rPr>
        <w:t>Energy</w:t>
      </w:r>
      <w:proofErr w:type="spellEnd"/>
      <w:r w:rsidRPr="00B75C1F">
        <w:rPr>
          <w:rFonts w:ascii="Arial" w:eastAsia="Times New Roman" w:hAnsi="Arial" w:cs="Arial"/>
          <w:color w:val="363636"/>
          <w:sz w:val="20"/>
          <w:szCs w:val="20"/>
          <w:lang w:eastAsia="ca-ES"/>
        </w:rPr>
        <w:t>"</w:t>
      </w:r>
    </w:p>
    <w:p w:rsidR="00B75C1F" w:rsidRPr="00B75C1F" w:rsidRDefault="00B75C1F" w:rsidP="00B75C1F">
      <w:pPr>
        <w:spacing w:after="0" w:line="240" w:lineRule="auto"/>
        <w:rPr>
          <w:rFonts w:ascii="Arial" w:eastAsia="Times New Roman" w:hAnsi="Arial" w:cs="Arial"/>
          <w:color w:val="666666"/>
          <w:sz w:val="15"/>
          <w:szCs w:val="15"/>
          <w:lang w:eastAsia="ca-ES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ca-ES"/>
        </w:rPr>
        <w:lastRenderedPageBreak/>
        <w:drawing>
          <wp:inline distT="0" distB="0" distL="0" distR="0">
            <wp:extent cx="5716905" cy="2828925"/>
            <wp:effectExtent l="0" t="0" r="0" b="9525"/>
            <wp:docPr id="1" name="Imagen 1" descr="http://www.terra.org/sites/default/files/bd_imagenes/000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rra.org/sites/default/files/bd_imagenes/000953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1F" w:rsidRPr="00B75C1F" w:rsidRDefault="00B75C1F" w:rsidP="00B75C1F">
      <w:pPr>
        <w:shd w:val="clear" w:color="auto" w:fill="FFFFFF"/>
        <w:spacing w:before="100" w:beforeAutospacing="1" w:line="336" w:lineRule="atLeast"/>
        <w:rPr>
          <w:rFonts w:ascii="Arial" w:eastAsia="Times New Roman" w:hAnsi="Arial" w:cs="Arial"/>
          <w:color w:val="666666"/>
          <w:sz w:val="17"/>
          <w:szCs w:val="17"/>
          <w:lang w:eastAsia="ca-ES"/>
        </w:rPr>
      </w:pPr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Foto: David Gilbert.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Chimenea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quemando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gas en un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vertedero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petrolífero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en la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Amazonía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ecuatoriana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. De la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película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Crude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 xml:space="preserve"> de Joe </w:t>
      </w:r>
      <w:proofErr w:type="spellStart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Berlinger</w:t>
      </w:r>
      <w:proofErr w:type="spellEnd"/>
      <w:r w:rsidRPr="00B75C1F">
        <w:rPr>
          <w:rFonts w:ascii="Arial" w:eastAsia="Times New Roman" w:hAnsi="Arial" w:cs="Arial"/>
          <w:color w:val="666666"/>
          <w:sz w:val="17"/>
          <w:szCs w:val="17"/>
          <w:lang w:eastAsia="ca-ES"/>
        </w:rPr>
        <w:t>.</w:t>
      </w:r>
    </w:p>
    <w:p w:rsidR="004F68D8" w:rsidRDefault="00B75C1F"/>
    <w:sectPr w:rsidR="004F6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7F4E"/>
    <w:multiLevelType w:val="multilevel"/>
    <w:tmpl w:val="75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1F"/>
    <w:rsid w:val="00027E65"/>
    <w:rsid w:val="00217C62"/>
    <w:rsid w:val="0027738D"/>
    <w:rsid w:val="00347864"/>
    <w:rsid w:val="00371B7D"/>
    <w:rsid w:val="003A2B4E"/>
    <w:rsid w:val="004D091A"/>
    <w:rsid w:val="0058155D"/>
    <w:rsid w:val="0067307F"/>
    <w:rsid w:val="006D6F83"/>
    <w:rsid w:val="008836B8"/>
    <w:rsid w:val="00886460"/>
    <w:rsid w:val="008907ED"/>
    <w:rsid w:val="009D114A"/>
    <w:rsid w:val="00B75C1F"/>
    <w:rsid w:val="00C24932"/>
    <w:rsid w:val="00C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75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5C1F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B75C1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75C1F"/>
  </w:style>
  <w:style w:type="paragraph" w:styleId="NormalWeb">
    <w:name w:val="Normal (Web)"/>
    <w:basedOn w:val="Normal"/>
    <w:uiPriority w:val="99"/>
    <w:semiHidden/>
    <w:unhideWhenUsed/>
    <w:rsid w:val="00B7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B75C1F"/>
    <w:rPr>
      <w:i/>
      <w:iCs/>
    </w:rPr>
  </w:style>
  <w:style w:type="character" w:styleId="Textoennegrita">
    <w:name w:val="Strong"/>
    <w:basedOn w:val="Fuentedeprrafopredeter"/>
    <w:uiPriority w:val="22"/>
    <w:qFormat/>
    <w:rsid w:val="00B75C1F"/>
    <w:rPr>
      <w:b/>
      <w:bCs/>
    </w:rPr>
  </w:style>
  <w:style w:type="paragraph" w:customStyle="1" w:styleId="textopiefoto">
    <w:name w:val="textopiefoto"/>
    <w:basedOn w:val="Normal"/>
    <w:rsid w:val="00B7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75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5C1F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B75C1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75C1F"/>
  </w:style>
  <w:style w:type="paragraph" w:styleId="NormalWeb">
    <w:name w:val="Normal (Web)"/>
    <w:basedOn w:val="Normal"/>
    <w:uiPriority w:val="99"/>
    <w:semiHidden/>
    <w:unhideWhenUsed/>
    <w:rsid w:val="00B7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B75C1F"/>
    <w:rPr>
      <w:i/>
      <w:iCs/>
    </w:rPr>
  </w:style>
  <w:style w:type="character" w:styleId="Textoennegrita">
    <w:name w:val="Strong"/>
    <w:basedOn w:val="Fuentedeprrafopredeter"/>
    <w:uiPriority w:val="22"/>
    <w:qFormat/>
    <w:rsid w:val="00B75C1F"/>
    <w:rPr>
      <w:b/>
      <w:bCs/>
    </w:rPr>
  </w:style>
  <w:style w:type="paragraph" w:customStyle="1" w:styleId="textopiefoto">
    <w:name w:val="textopiefoto"/>
    <w:basedOn w:val="Normal"/>
    <w:rsid w:val="00B7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5834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074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92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DDE1E5"/>
                <w:right w:val="none" w:sz="0" w:space="0" w:color="auto"/>
              </w:divBdr>
              <w:divsChild>
                <w:div w:id="932128667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572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3986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721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88">
                      <w:marLeft w:val="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6600"/>
                        <w:right w:val="none" w:sz="0" w:space="0" w:color="auto"/>
                      </w:divBdr>
                    </w:div>
                    <w:div w:id="1933976508">
                      <w:marLeft w:val="45"/>
                      <w:marRight w:val="4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6600"/>
                        <w:right w:val="none" w:sz="0" w:space="0" w:color="auto"/>
                      </w:divBdr>
                    </w:div>
                    <w:div w:id="1881356102">
                      <w:marLeft w:val="45"/>
                      <w:marRight w:val="4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6600"/>
                        <w:right w:val="none" w:sz="0" w:space="0" w:color="auto"/>
                      </w:divBdr>
                    </w:div>
                    <w:div w:id="2143762383">
                      <w:marLeft w:val="45"/>
                      <w:marRight w:val="4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6600"/>
                        <w:right w:val="none" w:sz="0" w:space="0" w:color="auto"/>
                      </w:divBdr>
                    </w:div>
                    <w:div w:id="623000059">
                      <w:marLeft w:val="45"/>
                      <w:marRight w:val="4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ra.org/sites/default/files/bd_imagenes/0009530.jpg" TargetMode="External"/><Relationship Id="rId13" Type="http://schemas.openxmlformats.org/officeDocument/2006/relationships/hyperlink" Target="http://liveearth.org/en/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http://www.crudethemovie.com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theamazonpo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meo.es/catalogo/peliculas/crud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erra.org/taxonomy/term/7628" TargetMode="External"/><Relationship Id="rId11" Type="http://schemas.openxmlformats.org/officeDocument/2006/relationships/hyperlink" Target="http://www.rainforestfoundationuk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cameo.es/catalogo/peliculas/cru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2014-11-26T12:57:00Z</dcterms:created>
  <dcterms:modified xsi:type="dcterms:W3CDTF">2014-11-26T12:58:00Z</dcterms:modified>
</cp:coreProperties>
</file>